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5A7A" w14:textId="649E712C" w:rsidR="008D27F4" w:rsidRDefault="007D103C" w:rsidP="008D27F4">
      <w:pPr>
        <w:contextualSpacing/>
        <w:jc w:val="center"/>
        <w:rPr>
          <w:b/>
          <w:bCs/>
          <w:i/>
          <w:iCs/>
          <w:sz w:val="32"/>
          <w:szCs w:val="32"/>
        </w:rPr>
      </w:pPr>
      <w:r>
        <w:rPr>
          <w:b/>
          <w:bCs/>
          <w:i/>
          <w:iCs/>
          <w:sz w:val="32"/>
          <w:szCs w:val="32"/>
        </w:rPr>
        <w:t>Germansweek</w:t>
      </w:r>
      <w:r w:rsidR="008D27F4" w:rsidRPr="008D27F4">
        <w:rPr>
          <w:b/>
          <w:bCs/>
          <w:i/>
          <w:iCs/>
          <w:sz w:val="32"/>
          <w:szCs w:val="32"/>
        </w:rPr>
        <w:t xml:space="preserve"> Parish Council </w:t>
      </w:r>
    </w:p>
    <w:p w14:paraId="014C5F71" w14:textId="6A622C5A" w:rsidR="008D27F4" w:rsidRDefault="008D27F4" w:rsidP="008D27F4">
      <w:pPr>
        <w:contextualSpacing/>
        <w:jc w:val="center"/>
        <w:rPr>
          <w:b/>
          <w:bCs/>
          <w:i/>
          <w:iCs/>
          <w:sz w:val="32"/>
          <w:szCs w:val="32"/>
        </w:rPr>
      </w:pPr>
      <w:r w:rsidRPr="008D27F4">
        <w:rPr>
          <w:b/>
          <w:bCs/>
          <w:i/>
          <w:iCs/>
          <w:sz w:val="32"/>
          <w:szCs w:val="32"/>
        </w:rPr>
        <w:t>GDPR Data Retention &amp; Disposal Policy</w:t>
      </w:r>
    </w:p>
    <w:p w14:paraId="3A7D1E94" w14:textId="77777777" w:rsidR="008D27F4" w:rsidRPr="008D27F4" w:rsidRDefault="008D27F4" w:rsidP="008D27F4">
      <w:pPr>
        <w:contextualSpacing/>
        <w:jc w:val="center"/>
        <w:rPr>
          <w:b/>
          <w:bCs/>
          <w:i/>
          <w:iCs/>
          <w:sz w:val="32"/>
          <w:szCs w:val="32"/>
        </w:rPr>
      </w:pPr>
    </w:p>
    <w:p w14:paraId="69F63436" w14:textId="77777777" w:rsidR="008D27F4" w:rsidRPr="008D27F4" w:rsidRDefault="008D27F4" w:rsidP="008D27F4">
      <w:pPr>
        <w:contextualSpacing/>
        <w:rPr>
          <w:b/>
          <w:bCs/>
          <w:sz w:val="28"/>
          <w:szCs w:val="28"/>
        </w:rPr>
      </w:pPr>
      <w:r w:rsidRPr="008D27F4">
        <w:rPr>
          <w:b/>
          <w:bCs/>
          <w:sz w:val="28"/>
          <w:szCs w:val="28"/>
        </w:rPr>
        <w:t>1. Purpose of this Policy</w:t>
      </w:r>
    </w:p>
    <w:p w14:paraId="526ECCE7" w14:textId="5590DF4B" w:rsidR="008D27F4" w:rsidRDefault="008D27F4" w:rsidP="008D27F4">
      <w:pPr>
        <w:contextualSpacing/>
      </w:pPr>
      <w:r>
        <w:t>This policy explains how the Parish Council manages the retention, storage, and disposal of personal data in accordance with the UK General Data Protection Regulation (UK GDPR) and the Data Protection Act 2018. It ensures that personal data is kept only for as long as necessary, is accurate, and is securely destroyed when no longer required.</w:t>
      </w:r>
    </w:p>
    <w:p w14:paraId="492AEB3F" w14:textId="77777777" w:rsidR="008D27F4" w:rsidRDefault="008D27F4" w:rsidP="008D27F4">
      <w:pPr>
        <w:contextualSpacing/>
      </w:pPr>
    </w:p>
    <w:p w14:paraId="7FB7A330" w14:textId="77777777" w:rsidR="008D27F4" w:rsidRPr="008D27F4" w:rsidRDefault="008D27F4" w:rsidP="008D27F4">
      <w:pPr>
        <w:contextualSpacing/>
        <w:rPr>
          <w:b/>
          <w:bCs/>
          <w:sz w:val="28"/>
          <w:szCs w:val="28"/>
        </w:rPr>
      </w:pPr>
      <w:r w:rsidRPr="008D27F4">
        <w:rPr>
          <w:b/>
          <w:bCs/>
          <w:sz w:val="28"/>
          <w:szCs w:val="28"/>
        </w:rPr>
        <w:t>2. Principles of Data Retention</w:t>
      </w:r>
    </w:p>
    <w:p w14:paraId="6974FFAB" w14:textId="2A1F1046" w:rsidR="008D27F4" w:rsidRDefault="008D27F4" w:rsidP="008D27F4">
      <w:pPr>
        <w:contextualSpacing/>
      </w:pPr>
      <w:r>
        <w:t>The Council follows the UK GDPR principles of:</w:t>
      </w:r>
    </w:p>
    <w:p w14:paraId="20544C19" w14:textId="6EDCDD34" w:rsidR="008D27F4" w:rsidRDefault="008D27F4" w:rsidP="008D27F4">
      <w:pPr>
        <w:contextualSpacing/>
      </w:pPr>
      <w:r>
        <w:t>Lawfulness, fairness, transparency</w:t>
      </w:r>
    </w:p>
    <w:p w14:paraId="334AB603" w14:textId="3019F51B" w:rsidR="008D27F4" w:rsidRDefault="008D27F4" w:rsidP="008D27F4">
      <w:pPr>
        <w:contextualSpacing/>
      </w:pPr>
      <w:r>
        <w:t>Purpose limitation</w:t>
      </w:r>
    </w:p>
    <w:p w14:paraId="1C5D4BCA" w14:textId="7FE5DB45" w:rsidR="008D27F4" w:rsidRDefault="008D27F4" w:rsidP="008D27F4">
      <w:pPr>
        <w:contextualSpacing/>
      </w:pPr>
      <w:r>
        <w:t>Data minimisation</w:t>
      </w:r>
    </w:p>
    <w:p w14:paraId="74B1AAAB" w14:textId="6551665E" w:rsidR="008D27F4" w:rsidRDefault="008D27F4" w:rsidP="008D27F4">
      <w:pPr>
        <w:contextualSpacing/>
      </w:pPr>
      <w:r>
        <w:t>Accuracy</w:t>
      </w:r>
    </w:p>
    <w:p w14:paraId="54187984" w14:textId="36653FE8" w:rsidR="008D27F4" w:rsidRDefault="008D27F4" w:rsidP="008D27F4">
      <w:pPr>
        <w:contextualSpacing/>
      </w:pPr>
      <w:r>
        <w:t>Storage limitation</w:t>
      </w:r>
    </w:p>
    <w:p w14:paraId="2F40C6DB" w14:textId="2305F3C3" w:rsidR="008D27F4" w:rsidRDefault="008D27F4" w:rsidP="008D27F4">
      <w:pPr>
        <w:contextualSpacing/>
      </w:pPr>
      <w:r>
        <w:t>Integrity and confidentiality</w:t>
      </w:r>
    </w:p>
    <w:p w14:paraId="679795CE" w14:textId="6B5E7D9E" w:rsidR="008D27F4" w:rsidRDefault="008D27F4" w:rsidP="008D27F4">
      <w:pPr>
        <w:contextualSpacing/>
      </w:pPr>
      <w:r>
        <w:t>Accountability</w:t>
      </w:r>
    </w:p>
    <w:p w14:paraId="3BD48493" w14:textId="44C620D1" w:rsidR="008D27F4" w:rsidRDefault="008D27F4" w:rsidP="008D27F4">
      <w:pPr>
        <w:contextualSpacing/>
      </w:pPr>
      <w:r>
        <w:t>Personal data must not be kept longer than needed for the purpose for which it was collected</w:t>
      </w:r>
    </w:p>
    <w:p w14:paraId="44E8F503" w14:textId="77777777" w:rsidR="008D27F4" w:rsidRDefault="008D27F4" w:rsidP="008D27F4">
      <w:pPr>
        <w:contextualSpacing/>
      </w:pPr>
    </w:p>
    <w:p w14:paraId="3CFA5A14" w14:textId="77777777" w:rsidR="008D27F4" w:rsidRDefault="008D27F4" w:rsidP="008D27F4">
      <w:pPr>
        <w:contextualSpacing/>
        <w:rPr>
          <w:b/>
          <w:bCs/>
          <w:sz w:val="28"/>
          <w:szCs w:val="28"/>
        </w:rPr>
      </w:pPr>
      <w:r w:rsidRPr="008D27F4">
        <w:rPr>
          <w:b/>
          <w:bCs/>
          <w:sz w:val="28"/>
          <w:szCs w:val="28"/>
        </w:rPr>
        <w:t>3. Roles and Responsibilities</w:t>
      </w:r>
    </w:p>
    <w:p w14:paraId="474397D5" w14:textId="75A7AF3B" w:rsidR="008D27F4" w:rsidRDefault="008D27F4" w:rsidP="008D27F4">
      <w:pPr>
        <w:contextualSpacing/>
      </w:pPr>
      <w:r>
        <w:t>The Clerk is responsible for maintaining retention schedules, ensuring secure storage, and arranging disposal.</w:t>
      </w:r>
    </w:p>
    <w:p w14:paraId="227F7D64" w14:textId="77777777" w:rsidR="008D27F4" w:rsidRDefault="008D27F4" w:rsidP="008D27F4">
      <w:pPr>
        <w:contextualSpacing/>
      </w:pPr>
      <w:r>
        <w:t>Councillors and staff must follow this policy when handling personal data.</w:t>
      </w:r>
    </w:p>
    <w:p w14:paraId="093A4124" w14:textId="77777777" w:rsidR="008D27F4" w:rsidRDefault="008D27F4" w:rsidP="008D27F4">
      <w:pPr>
        <w:contextualSpacing/>
      </w:pPr>
      <w:r w:rsidRPr="008D27F4">
        <w:t>The Council is the Data Controller.</w:t>
      </w:r>
    </w:p>
    <w:p w14:paraId="12FAA528" w14:textId="77777777" w:rsidR="008D27F4" w:rsidRPr="008D27F4" w:rsidRDefault="008D27F4" w:rsidP="008D27F4">
      <w:pPr>
        <w:contextualSpacing/>
      </w:pPr>
    </w:p>
    <w:p w14:paraId="5F38832E" w14:textId="77777777" w:rsidR="008D27F4" w:rsidRPr="008D27F4" w:rsidRDefault="008D27F4" w:rsidP="008D27F4">
      <w:pPr>
        <w:contextualSpacing/>
        <w:rPr>
          <w:b/>
          <w:bCs/>
          <w:sz w:val="28"/>
          <w:szCs w:val="28"/>
        </w:rPr>
      </w:pPr>
      <w:r w:rsidRPr="008D27F4">
        <w:rPr>
          <w:b/>
          <w:bCs/>
          <w:sz w:val="28"/>
          <w:szCs w:val="28"/>
        </w:rPr>
        <w:t>4. Retention Schedule</w:t>
      </w:r>
    </w:p>
    <w:p w14:paraId="160D64EA" w14:textId="77777777" w:rsidR="008D27F4" w:rsidRDefault="008D27F4" w:rsidP="008D27F4">
      <w:pPr>
        <w:contextualSpacing/>
      </w:pPr>
      <w:r>
        <w:t>Retention periods follow guidance from NALC, SLCC, and The National Archives. Where statutory requirements apply, these take precedence.</w:t>
      </w:r>
    </w:p>
    <w:p w14:paraId="74B65AA9" w14:textId="77777777" w:rsidR="008D27F4" w:rsidRDefault="008D27F4" w:rsidP="008D27F4">
      <w:pPr>
        <w:contextualSpacing/>
      </w:pPr>
    </w:p>
    <w:p w14:paraId="620B9D2A" w14:textId="77777777" w:rsidR="008D27F4" w:rsidRPr="008D27F4" w:rsidRDefault="008D27F4" w:rsidP="008D27F4">
      <w:pPr>
        <w:contextualSpacing/>
        <w:rPr>
          <w:i/>
          <w:iCs/>
          <w:sz w:val="28"/>
          <w:szCs w:val="28"/>
        </w:rPr>
      </w:pPr>
      <w:r w:rsidRPr="008D27F4">
        <w:rPr>
          <w:i/>
          <w:iCs/>
          <w:sz w:val="28"/>
          <w:szCs w:val="28"/>
        </w:rPr>
        <w:t>A. Governance &amp; Administration</w:t>
      </w:r>
    </w:p>
    <w:p w14:paraId="729948EB" w14:textId="77777777" w:rsidR="008D27F4" w:rsidRDefault="008D27F4" w:rsidP="008D27F4">
      <w:pPr>
        <w:contextualSpacing/>
      </w:pPr>
      <w:r>
        <w:t>Minutes (signed) — Permanent archive</w:t>
      </w:r>
    </w:p>
    <w:p w14:paraId="7F41485B" w14:textId="77777777" w:rsidR="008D27F4" w:rsidRDefault="008D27F4" w:rsidP="008D27F4">
      <w:pPr>
        <w:contextualSpacing/>
      </w:pPr>
      <w:r>
        <w:t>Draft minutes — Until approved</w:t>
      </w:r>
    </w:p>
    <w:p w14:paraId="3D7F0E28" w14:textId="77777777" w:rsidR="008D27F4" w:rsidRDefault="008D27F4" w:rsidP="008D27F4">
      <w:pPr>
        <w:contextualSpacing/>
      </w:pPr>
      <w:r>
        <w:t>Agendas — 5 years</w:t>
      </w:r>
    </w:p>
    <w:p w14:paraId="41D14A14" w14:textId="77777777" w:rsidR="008D27F4" w:rsidRDefault="008D27F4" w:rsidP="008D27F4">
      <w:pPr>
        <w:contextualSpacing/>
      </w:pPr>
      <w:r>
        <w:t>Councillor declarations of acceptance of office — Term of office + 1 year</w:t>
      </w:r>
    </w:p>
    <w:p w14:paraId="2DE7500C" w14:textId="77777777" w:rsidR="008D27F4" w:rsidRDefault="008D27F4" w:rsidP="008D27F4">
      <w:pPr>
        <w:contextualSpacing/>
      </w:pPr>
      <w:r>
        <w:t>Register of Members’ Interests — As long as the member holds office</w:t>
      </w:r>
    </w:p>
    <w:p w14:paraId="1A03D35F" w14:textId="77777777" w:rsidR="008D27F4" w:rsidRDefault="008D27F4" w:rsidP="008D27F4">
      <w:pPr>
        <w:contextualSpacing/>
      </w:pPr>
      <w:r>
        <w:t>Policies &amp; procedures — Current version + 3 years</w:t>
      </w:r>
    </w:p>
    <w:p w14:paraId="445D3A48" w14:textId="77777777" w:rsidR="008D27F4" w:rsidRDefault="008D27F4" w:rsidP="008D27F4">
      <w:pPr>
        <w:contextualSpacing/>
      </w:pPr>
    </w:p>
    <w:p w14:paraId="1F8821BB" w14:textId="6A1B778D" w:rsidR="008D27F4" w:rsidRPr="008D27F4" w:rsidRDefault="008D27F4" w:rsidP="008D27F4">
      <w:pPr>
        <w:contextualSpacing/>
        <w:rPr>
          <w:i/>
          <w:iCs/>
          <w:sz w:val="28"/>
          <w:szCs w:val="28"/>
        </w:rPr>
      </w:pPr>
      <w:r>
        <w:rPr>
          <w:i/>
          <w:iCs/>
          <w:sz w:val="28"/>
          <w:szCs w:val="28"/>
        </w:rPr>
        <w:t>B</w:t>
      </w:r>
      <w:r w:rsidRPr="008D27F4">
        <w:rPr>
          <w:i/>
          <w:iCs/>
          <w:sz w:val="28"/>
          <w:szCs w:val="28"/>
        </w:rPr>
        <w:t>. Financial Records</w:t>
      </w:r>
    </w:p>
    <w:p w14:paraId="4482D368" w14:textId="77777777" w:rsidR="008D27F4" w:rsidRDefault="008D27F4" w:rsidP="008D27F4">
      <w:pPr>
        <w:contextualSpacing/>
      </w:pPr>
      <w:r>
        <w:t>Annual accounts &amp; audit papers — 7 years</w:t>
      </w:r>
    </w:p>
    <w:p w14:paraId="7AEA5E00" w14:textId="77777777" w:rsidR="008D27F4" w:rsidRDefault="008D27F4" w:rsidP="008D27F4">
      <w:pPr>
        <w:contextualSpacing/>
      </w:pPr>
      <w:r>
        <w:t>Bank statements, paying</w:t>
      </w:r>
      <w:r>
        <w:rPr>
          <w:rFonts w:ascii="Cambria Math" w:hAnsi="Cambria Math" w:cs="Cambria Math"/>
        </w:rPr>
        <w:t>‑</w:t>
      </w:r>
      <w:r>
        <w:t xml:space="preserve">in books, cheque books </w:t>
      </w:r>
      <w:r>
        <w:rPr>
          <w:rFonts w:ascii="Aptos" w:hAnsi="Aptos" w:cs="Aptos"/>
        </w:rPr>
        <w:t>—</w:t>
      </w:r>
      <w:r>
        <w:t xml:space="preserve"> 7 years</w:t>
      </w:r>
    </w:p>
    <w:p w14:paraId="05350D4D" w14:textId="77777777" w:rsidR="008D27F4" w:rsidRDefault="008D27F4" w:rsidP="008D27F4">
      <w:pPr>
        <w:contextualSpacing/>
      </w:pPr>
      <w:r>
        <w:t>Invoices, receipts, order books — 7 years</w:t>
      </w:r>
    </w:p>
    <w:p w14:paraId="7FFE0E29" w14:textId="77777777" w:rsidR="008D27F4" w:rsidRDefault="008D27F4" w:rsidP="008D27F4">
      <w:pPr>
        <w:contextualSpacing/>
      </w:pPr>
      <w:r>
        <w:t>VAT records — 6 years</w:t>
      </w:r>
    </w:p>
    <w:p w14:paraId="4AB94F96" w14:textId="77777777" w:rsidR="008D27F4" w:rsidRDefault="008D27F4" w:rsidP="008D27F4">
      <w:pPr>
        <w:contextualSpacing/>
      </w:pPr>
      <w:r>
        <w:t>Grant applications (successful) — 7 years</w:t>
      </w:r>
    </w:p>
    <w:p w14:paraId="24721470" w14:textId="77777777" w:rsidR="008D27F4" w:rsidRDefault="008D27F4" w:rsidP="008D27F4">
      <w:pPr>
        <w:contextualSpacing/>
      </w:pPr>
      <w:r>
        <w:t>Grant applications (unsuccessful) — 1 year</w:t>
      </w:r>
    </w:p>
    <w:p w14:paraId="6DC6C267" w14:textId="77777777" w:rsidR="008D27F4" w:rsidRDefault="008D27F4" w:rsidP="008D27F4">
      <w:pPr>
        <w:contextualSpacing/>
      </w:pPr>
    </w:p>
    <w:p w14:paraId="186FB275" w14:textId="77777777" w:rsidR="008D27F4" w:rsidRPr="008D27F4" w:rsidRDefault="008D27F4" w:rsidP="008D27F4">
      <w:pPr>
        <w:contextualSpacing/>
        <w:rPr>
          <w:i/>
          <w:iCs/>
          <w:sz w:val="28"/>
          <w:szCs w:val="28"/>
        </w:rPr>
      </w:pPr>
      <w:r w:rsidRPr="008D27F4">
        <w:rPr>
          <w:i/>
          <w:iCs/>
          <w:sz w:val="28"/>
          <w:szCs w:val="28"/>
        </w:rPr>
        <w:t>C. Staff &amp; Employment</w:t>
      </w:r>
    </w:p>
    <w:p w14:paraId="101DF0FF" w14:textId="77777777" w:rsidR="008D27F4" w:rsidRDefault="008D27F4" w:rsidP="008D27F4">
      <w:pPr>
        <w:contextualSpacing/>
      </w:pPr>
      <w:r>
        <w:t>Employee records — 6 years after employment ends</w:t>
      </w:r>
    </w:p>
    <w:p w14:paraId="5FCC3BE0" w14:textId="77777777" w:rsidR="008D27F4" w:rsidRDefault="008D27F4" w:rsidP="008D27F4">
      <w:pPr>
        <w:contextualSpacing/>
      </w:pPr>
      <w:r>
        <w:t>Payroll, tax, NI records — 6 years</w:t>
      </w:r>
    </w:p>
    <w:p w14:paraId="6380B8DB" w14:textId="77777777" w:rsidR="008D27F4" w:rsidRDefault="008D27F4" w:rsidP="008D27F4">
      <w:pPr>
        <w:contextualSpacing/>
      </w:pPr>
      <w:r>
        <w:t>Recruitment records (unsuccessful applicants) — 6 months</w:t>
      </w:r>
    </w:p>
    <w:p w14:paraId="35EBC477" w14:textId="77777777" w:rsidR="008D27F4" w:rsidRDefault="008D27F4" w:rsidP="008D27F4">
      <w:pPr>
        <w:contextualSpacing/>
      </w:pPr>
      <w:r>
        <w:t>Training records — 3 years</w:t>
      </w:r>
    </w:p>
    <w:p w14:paraId="59694870" w14:textId="77777777" w:rsidR="008D27F4" w:rsidRDefault="008D27F4" w:rsidP="008D27F4">
      <w:pPr>
        <w:contextualSpacing/>
      </w:pPr>
    </w:p>
    <w:p w14:paraId="217F2390" w14:textId="77777777" w:rsidR="008D27F4" w:rsidRPr="008D27F4" w:rsidRDefault="008D27F4" w:rsidP="008D27F4">
      <w:pPr>
        <w:contextualSpacing/>
        <w:rPr>
          <w:i/>
          <w:iCs/>
          <w:sz w:val="28"/>
          <w:szCs w:val="28"/>
        </w:rPr>
      </w:pPr>
      <w:r w:rsidRPr="008D27F4">
        <w:rPr>
          <w:i/>
          <w:iCs/>
          <w:sz w:val="28"/>
          <w:szCs w:val="28"/>
        </w:rPr>
        <w:t>D. Property &amp; Asset Management</w:t>
      </w:r>
    </w:p>
    <w:p w14:paraId="2584121F" w14:textId="77777777" w:rsidR="008D27F4" w:rsidRDefault="008D27F4" w:rsidP="008D27F4">
      <w:pPr>
        <w:contextualSpacing/>
      </w:pPr>
      <w:r>
        <w:t>Title deeds, leases, agreements — Permanent</w:t>
      </w:r>
    </w:p>
    <w:p w14:paraId="6B3F7344" w14:textId="77777777" w:rsidR="008D27F4" w:rsidRDefault="008D27F4" w:rsidP="008D27F4">
      <w:pPr>
        <w:contextualSpacing/>
      </w:pPr>
      <w:r>
        <w:t>Insurance policies — 7 years</w:t>
      </w:r>
    </w:p>
    <w:p w14:paraId="38F3A4F7" w14:textId="77777777" w:rsidR="008D27F4" w:rsidRDefault="008D27F4" w:rsidP="008D27F4">
      <w:pPr>
        <w:contextualSpacing/>
      </w:pPr>
      <w:r>
        <w:t>Inspection records (e.g., playgrounds) — 6 years</w:t>
      </w:r>
    </w:p>
    <w:p w14:paraId="035D50B7" w14:textId="77777777" w:rsidR="008D27F4" w:rsidRDefault="008D27F4" w:rsidP="008D27F4">
      <w:pPr>
        <w:contextualSpacing/>
      </w:pPr>
    </w:p>
    <w:p w14:paraId="53266579" w14:textId="77777777" w:rsidR="008D27F4" w:rsidRPr="008D27F4" w:rsidRDefault="008D27F4" w:rsidP="008D27F4">
      <w:pPr>
        <w:contextualSpacing/>
        <w:rPr>
          <w:i/>
          <w:iCs/>
          <w:sz w:val="28"/>
          <w:szCs w:val="28"/>
        </w:rPr>
      </w:pPr>
      <w:r w:rsidRPr="008D27F4">
        <w:rPr>
          <w:i/>
          <w:iCs/>
          <w:sz w:val="28"/>
          <w:szCs w:val="28"/>
        </w:rPr>
        <w:t>E. Planning</w:t>
      </w:r>
    </w:p>
    <w:p w14:paraId="030FBA96" w14:textId="77777777" w:rsidR="008D27F4" w:rsidRDefault="008D27F4" w:rsidP="008D27F4">
      <w:pPr>
        <w:contextualSpacing/>
      </w:pPr>
      <w:r>
        <w:t>Planning applications (Council copies) — 1 year</w:t>
      </w:r>
    </w:p>
    <w:p w14:paraId="7F78B7E5" w14:textId="18A091E6" w:rsidR="008D27F4" w:rsidRDefault="008D27F4" w:rsidP="008D27F4">
      <w:pPr>
        <w:contextualSpacing/>
      </w:pPr>
      <w:r>
        <w:t>Planning responses submitted to the planning authority — 3 years</w:t>
      </w:r>
    </w:p>
    <w:p w14:paraId="26145748" w14:textId="77777777" w:rsidR="008D27F4" w:rsidRDefault="008D27F4" w:rsidP="008D27F4">
      <w:pPr>
        <w:contextualSpacing/>
      </w:pPr>
    </w:p>
    <w:p w14:paraId="5533B983" w14:textId="77777777" w:rsidR="008D27F4" w:rsidRPr="008D27F4" w:rsidRDefault="008D27F4" w:rsidP="008D27F4">
      <w:pPr>
        <w:contextualSpacing/>
        <w:rPr>
          <w:i/>
          <w:iCs/>
        </w:rPr>
      </w:pPr>
      <w:r w:rsidRPr="008D27F4">
        <w:rPr>
          <w:i/>
          <w:iCs/>
        </w:rPr>
        <w:t>F</w:t>
      </w:r>
      <w:r w:rsidRPr="008D27F4">
        <w:rPr>
          <w:i/>
          <w:iCs/>
          <w:sz w:val="28"/>
          <w:szCs w:val="28"/>
        </w:rPr>
        <w:t>. Communications &amp; Engagement</w:t>
      </w:r>
    </w:p>
    <w:p w14:paraId="3C60B107" w14:textId="77777777" w:rsidR="008D27F4" w:rsidRDefault="008D27F4" w:rsidP="008D27F4">
      <w:pPr>
        <w:contextualSpacing/>
      </w:pPr>
      <w:r>
        <w:t>Correspondence (general) — 2 years</w:t>
      </w:r>
    </w:p>
    <w:p w14:paraId="5A45985D" w14:textId="77777777" w:rsidR="008D27F4" w:rsidRDefault="008D27F4" w:rsidP="008D27F4">
      <w:pPr>
        <w:contextualSpacing/>
      </w:pPr>
      <w:r>
        <w:t>Complaints (resolved) — 3 years</w:t>
      </w:r>
    </w:p>
    <w:p w14:paraId="1C075575" w14:textId="77777777" w:rsidR="008D27F4" w:rsidRDefault="008D27F4" w:rsidP="008D27F4">
      <w:pPr>
        <w:contextualSpacing/>
      </w:pPr>
      <w:r>
        <w:t>Complaints (serious or ongoing) — 6 years</w:t>
      </w:r>
    </w:p>
    <w:p w14:paraId="4A69A439" w14:textId="77777777" w:rsidR="008D27F4" w:rsidRDefault="008D27F4" w:rsidP="008D27F4">
      <w:pPr>
        <w:contextualSpacing/>
      </w:pPr>
      <w:r>
        <w:t>Mailing lists — Until the individual withdraws consent</w:t>
      </w:r>
    </w:p>
    <w:p w14:paraId="04AEDA02" w14:textId="77777777" w:rsidR="008D27F4" w:rsidRDefault="008D27F4" w:rsidP="008D27F4">
      <w:pPr>
        <w:contextualSpacing/>
      </w:pPr>
    </w:p>
    <w:p w14:paraId="42EE27CA" w14:textId="77777777" w:rsidR="008D27F4" w:rsidRPr="008D27F4" w:rsidRDefault="008D27F4" w:rsidP="008D27F4">
      <w:pPr>
        <w:contextualSpacing/>
        <w:rPr>
          <w:b/>
          <w:bCs/>
          <w:sz w:val="28"/>
          <w:szCs w:val="28"/>
        </w:rPr>
      </w:pPr>
      <w:r w:rsidRPr="008D27F4">
        <w:rPr>
          <w:b/>
          <w:bCs/>
          <w:sz w:val="28"/>
          <w:szCs w:val="28"/>
        </w:rPr>
        <w:t>5. Secure Storage</w:t>
      </w:r>
    </w:p>
    <w:p w14:paraId="4579388A" w14:textId="77777777" w:rsidR="008D27F4" w:rsidRDefault="008D27F4" w:rsidP="008D27F4">
      <w:pPr>
        <w:contextualSpacing/>
      </w:pPr>
      <w:r>
        <w:t>The Council ensures:</w:t>
      </w:r>
    </w:p>
    <w:p w14:paraId="42794A6E" w14:textId="77777777" w:rsidR="008D27F4" w:rsidRDefault="008D27F4" w:rsidP="008D27F4">
      <w:pPr>
        <w:contextualSpacing/>
      </w:pPr>
      <w:r>
        <w:t>Electronic data is stored on password</w:t>
      </w:r>
      <w:r>
        <w:rPr>
          <w:rFonts w:ascii="Cambria Math" w:hAnsi="Cambria Math" w:cs="Cambria Math"/>
        </w:rPr>
        <w:t>‑</w:t>
      </w:r>
      <w:r>
        <w:t>protected devices with appropriate access controls.</w:t>
      </w:r>
    </w:p>
    <w:p w14:paraId="44904B26" w14:textId="77777777" w:rsidR="008D27F4" w:rsidRDefault="008D27F4" w:rsidP="008D27F4">
      <w:pPr>
        <w:contextualSpacing/>
      </w:pPr>
      <w:r>
        <w:t>Paper records are kept in locked cabinets or secure storage.</w:t>
      </w:r>
    </w:p>
    <w:p w14:paraId="0575735D" w14:textId="77777777" w:rsidR="008D27F4" w:rsidRDefault="008D27F4" w:rsidP="008D27F4">
      <w:pPr>
        <w:contextualSpacing/>
      </w:pPr>
      <w:r>
        <w:t>Backups are maintained securely and encrypted where possible.</w:t>
      </w:r>
    </w:p>
    <w:p w14:paraId="05D7714F" w14:textId="77777777" w:rsidR="008D27F4" w:rsidRDefault="008D27F4" w:rsidP="008D27F4">
      <w:pPr>
        <w:contextualSpacing/>
      </w:pPr>
    </w:p>
    <w:p w14:paraId="53703157" w14:textId="77777777" w:rsidR="008D27F4" w:rsidRDefault="008D27F4">
      <w:pPr>
        <w:rPr>
          <w:b/>
          <w:bCs/>
          <w:sz w:val="28"/>
          <w:szCs w:val="28"/>
        </w:rPr>
      </w:pPr>
      <w:r>
        <w:rPr>
          <w:b/>
          <w:bCs/>
          <w:sz w:val="28"/>
          <w:szCs w:val="28"/>
        </w:rPr>
        <w:br w:type="page"/>
      </w:r>
    </w:p>
    <w:p w14:paraId="352291DB" w14:textId="6D0AD3E7" w:rsidR="008D27F4" w:rsidRPr="008D27F4" w:rsidRDefault="008D27F4" w:rsidP="008D27F4">
      <w:pPr>
        <w:contextualSpacing/>
        <w:rPr>
          <w:b/>
          <w:bCs/>
          <w:sz w:val="28"/>
          <w:szCs w:val="28"/>
        </w:rPr>
      </w:pPr>
      <w:r w:rsidRPr="008D27F4">
        <w:rPr>
          <w:b/>
          <w:bCs/>
          <w:sz w:val="28"/>
          <w:szCs w:val="28"/>
        </w:rPr>
        <w:lastRenderedPageBreak/>
        <w:t>6. Secure Disposal</w:t>
      </w:r>
    </w:p>
    <w:p w14:paraId="0A425435" w14:textId="77777777" w:rsidR="008D27F4" w:rsidRDefault="008D27F4" w:rsidP="008D27F4">
      <w:pPr>
        <w:contextualSpacing/>
      </w:pPr>
      <w:r>
        <w:t>When data reaches the end of its retention period:</w:t>
      </w:r>
    </w:p>
    <w:p w14:paraId="31E21915" w14:textId="77777777" w:rsidR="008D27F4" w:rsidRDefault="008D27F4" w:rsidP="008D27F4">
      <w:pPr>
        <w:contextualSpacing/>
      </w:pPr>
      <w:r>
        <w:t>Paper records are shredded or securely destroyed.</w:t>
      </w:r>
    </w:p>
    <w:p w14:paraId="0EA06750" w14:textId="77777777" w:rsidR="008D27F4" w:rsidRDefault="008D27F4" w:rsidP="008D27F4">
      <w:pPr>
        <w:contextualSpacing/>
      </w:pPr>
      <w:r>
        <w:t>Electronic records are permanently deleted from all systems and backups where feasible.</w:t>
      </w:r>
    </w:p>
    <w:p w14:paraId="5C94818E" w14:textId="77777777" w:rsidR="008D27F4" w:rsidRDefault="008D27F4" w:rsidP="008D27F4">
      <w:pPr>
        <w:contextualSpacing/>
      </w:pPr>
      <w:r>
        <w:t>Disposal actions are recorded in a Data Disposal Log.</w:t>
      </w:r>
    </w:p>
    <w:p w14:paraId="0D242B43" w14:textId="77777777" w:rsidR="008D27F4" w:rsidRDefault="008D27F4" w:rsidP="008D27F4">
      <w:pPr>
        <w:contextualSpacing/>
      </w:pPr>
    </w:p>
    <w:p w14:paraId="1D7E27E6" w14:textId="77777777" w:rsidR="008D27F4" w:rsidRPr="008D27F4" w:rsidRDefault="008D27F4" w:rsidP="008D27F4">
      <w:pPr>
        <w:contextualSpacing/>
        <w:rPr>
          <w:b/>
          <w:bCs/>
          <w:sz w:val="28"/>
          <w:szCs w:val="28"/>
        </w:rPr>
      </w:pPr>
      <w:r w:rsidRPr="008D27F4">
        <w:rPr>
          <w:b/>
          <w:bCs/>
          <w:sz w:val="28"/>
          <w:szCs w:val="28"/>
        </w:rPr>
        <w:t>7. Data Subject Rights</w:t>
      </w:r>
    </w:p>
    <w:p w14:paraId="0BCD53DC" w14:textId="77777777" w:rsidR="008D27F4" w:rsidRDefault="008D27F4" w:rsidP="008D27F4">
      <w:pPr>
        <w:contextualSpacing/>
      </w:pPr>
      <w:r>
        <w:t>Individuals may request:</w:t>
      </w:r>
    </w:p>
    <w:p w14:paraId="0C8F0254" w14:textId="77777777" w:rsidR="008D27F4" w:rsidRDefault="008D27F4" w:rsidP="008D27F4">
      <w:pPr>
        <w:contextualSpacing/>
      </w:pPr>
      <w:r>
        <w:t>Access to their data</w:t>
      </w:r>
    </w:p>
    <w:p w14:paraId="255C5D88" w14:textId="77777777" w:rsidR="008D27F4" w:rsidRDefault="008D27F4" w:rsidP="008D27F4">
      <w:pPr>
        <w:contextualSpacing/>
      </w:pPr>
      <w:r>
        <w:t>Correction or deletion</w:t>
      </w:r>
    </w:p>
    <w:p w14:paraId="49952A8C" w14:textId="77777777" w:rsidR="008D27F4" w:rsidRDefault="008D27F4" w:rsidP="008D27F4">
      <w:pPr>
        <w:contextualSpacing/>
      </w:pPr>
      <w:r>
        <w:t>Restriction of processing</w:t>
      </w:r>
    </w:p>
    <w:p w14:paraId="39069752" w14:textId="77777777" w:rsidR="008D27F4" w:rsidRDefault="008D27F4" w:rsidP="008D27F4">
      <w:pPr>
        <w:contextualSpacing/>
      </w:pPr>
      <w:r>
        <w:t>Objection to processing</w:t>
      </w:r>
    </w:p>
    <w:p w14:paraId="7879D6AE" w14:textId="77777777" w:rsidR="008D27F4" w:rsidRDefault="008D27F4" w:rsidP="008D27F4">
      <w:pPr>
        <w:contextualSpacing/>
      </w:pPr>
      <w:r>
        <w:t>Requests are handled in accordance with the Council’s Data Protection Policy and statutory timeframes.</w:t>
      </w:r>
    </w:p>
    <w:p w14:paraId="75FC0CF7" w14:textId="77777777" w:rsidR="008D27F4" w:rsidRDefault="008D27F4" w:rsidP="008D27F4">
      <w:pPr>
        <w:contextualSpacing/>
      </w:pPr>
      <w:r>
        <w:t>8. Review of this Policy</w:t>
      </w:r>
    </w:p>
    <w:p w14:paraId="365D16D6" w14:textId="3D772B7B" w:rsidR="007B2A48" w:rsidRDefault="008D27F4" w:rsidP="008D27F4">
      <w:pPr>
        <w:contextualSpacing/>
      </w:pPr>
      <w:r>
        <w:t>This policy is reviewed every two years or sooner if legislation changes. The Clerk is responsible for initiating the review.</w:t>
      </w:r>
    </w:p>
    <w:p w14:paraId="5DB5E0F6" w14:textId="77777777" w:rsidR="008D27F4" w:rsidRDefault="008D27F4" w:rsidP="008D27F4">
      <w:pPr>
        <w:contextualSpacing/>
      </w:pPr>
    </w:p>
    <w:p w14:paraId="5B830F7F" w14:textId="6ECCF78D" w:rsidR="008D27F4" w:rsidRDefault="007D103C" w:rsidP="008D27F4">
      <w:pPr>
        <w:contextualSpacing/>
      </w:pPr>
      <w:r>
        <w:t>Adopted by Germansweek PC 20</w:t>
      </w:r>
      <w:r w:rsidRPr="007D103C">
        <w:rPr>
          <w:vertAlign w:val="superscript"/>
        </w:rPr>
        <w:t>th</w:t>
      </w:r>
      <w:r>
        <w:t xml:space="preserve"> May 2026</w:t>
      </w:r>
    </w:p>
    <w:sectPr w:rsidR="008D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4"/>
    <w:rsid w:val="00301E16"/>
    <w:rsid w:val="00501B9A"/>
    <w:rsid w:val="007B2A48"/>
    <w:rsid w:val="007D103C"/>
    <w:rsid w:val="008513DE"/>
    <w:rsid w:val="008D27F4"/>
    <w:rsid w:val="009A464C"/>
    <w:rsid w:val="00B726A3"/>
    <w:rsid w:val="00C53854"/>
    <w:rsid w:val="00C96739"/>
    <w:rsid w:val="00E0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D74"/>
  <w15:chartTrackingRefBased/>
  <w15:docId w15:val="{AF5ABC38-7A3E-4706-B023-3E69D1B3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F4"/>
    <w:rPr>
      <w:rFonts w:eastAsiaTheme="majorEastAsia" w:cstheme="majorBidi"/>
      <w:color w:val="272727" w:themeColor="text1" w:themeTint="D8"/>
    </w:rPr>
  </w:style>
  <w:style w:type="paragraph" w:styleId="Title">
    <w:name w:val="Title"/>
    <w:basedOn w:val="Normal"/>
    <w:next w:val="Normal"/>
    <w:link w:val="TitleChar"/>
    <w:uiPriority w:val="10"/>
    <w:qFormat/>
    <w:rsid w:val="008D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F4"/>
    <w:pPr>
      <w:spacing w:before="160"/>
      <w:jc w:val="center"/>
    </w:pPr>
    <w:rPr>
      <w:i/>
      <w:iCs/>
      <w:color w:val="404040" w:themeColor="text1" w:themeTint="BF"/>
    </w:rPr>
  </w:style>
  <w:style w:type="character" w:customStyle="1" w:styleId="QuoteChar">
    <w:name w:val="Quote Char"/>
    <w:basedOn w:val="DefaultParagraphFont"/>
    <w:link w:val="Quote"/>
    <w:uiPriority w:val="29"/>
    <w:rsid w:val="008D27F4"/>
    <w:rPr>
      <w:i/>
      <w:iCs/>
      <w:color w:val="404040" w:themeColor="text1" w:themeTint="BF"/>
    </w:rPr>
  </w:style>
  <w:style w:type="paragraph" w:styleId="ListParagraph">
    <w:name w:val="List Paragraph"/>
    <w:basedOn w:val="Normal"/>
    <w:uiPriority w:val="34"/>
    <w:qFormat/>
    <w:rsid w:val="008D27F4"/>
    <w:pPr>
      <w:ind w:left="720"/>
      <w:contextualSpacing/>
    </w:pPr>
  </w:style>
  <w:style w:type="character" w:styleId="IntenseEmphasis">
    <w:name w:val="Intense Emphasis"/>
    <w:basedOn w:val="DefaultParagraphFont"/>
    <w:uiPriority w:val="21"/>
    <w:qFormat/>
    <w:rsid w:val="008D27F4"/>
    <w:rPr>
      <w:i/>
      <w:iCs/>
      <w:color w:val="0F4761" w:themeColor="accent1" w:themeShade="BF"/>
    </w:rPr>
  </w:style>
  <w:style w:type="paragraph" w:styleId="IntenseQuote">
    <w:name w:val="Intense Quote"/>
    <w:basedOn w:val="Normal"/>
    <w:next w:val="Normal"/>
    <w:link w:val="IntenseQuoteChar"/>
    <w:uiPriority w:val="30"/>
    <w:qFormat/>
    <w:rsid w:val="008D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F4"/>
    <w:rPr>
      <w:i/>
      <w:iCs/>
      <w:color w:val="0F4761" w:themeColor="accent1" w:themeShade="BF"/>
    </w:rPr>
  </w:style>
  <w:style w:type="character" w:styleId="IntenseReference">
    <w:name w:val="Intense Reference"/>
    <w:basedOn w:val="DefaultParagraphFont"/>
    <w:uiPriority w:val="32"/>
    <w:qFormat/>
    <w:rsid w:val="008D2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Rachel Ward</cp:lastModifiedBy>
  <cp:revision>2</cp:revision>
  <dcterms:created xsi:type="dcterms:W3CDTF">2026-05-16T14:01:00Z</dcterms:created>
  <dcterms:modified xsi:type="dcterms:W3CDTF">2026-05-16T14:01:00Z</dcterms:modified>
</cp:coreProperties>
</file>